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GRUPO DE ESTUDOS DE CÓDICES: 1º SEMESTRE 2025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Local:</w:t>
      </w:r>
      <w:r w:rsidDel="00000000" w:rsidR="00000000" w:rsidRPr="00000000">
        <w:rPr>
          <w:rtl w:val="0"/>
        </w:rPr>
        <w:t xml:space="preserve"> Laboratório do CEMAA e online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Horário: </w:t>
      </w:r>
      <w:r w:rsidDel="00000000" w:rsidR="00000000" w:rsidRPr="00000000">
        <w:rPr>
          <w:rtl w:val="0"/>
        </w:rPr>
        <w:t xml:space="preserve">Terças-feiras, das 18h00 às 19h30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 de março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Primeiro encontro: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Apresentação da proposta do grupo, recepção dos alunos e primeiro exercício de leitura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 de abril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Segundo encontro: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Composição de personagens: nomes, ações, identificações.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Leitura do códice Zouche-Nuttall.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Texto sugerido: LEÓN-PORTILLA, Miguel. </w:t>
      </w:r>
      <w:r w:rsidDel="00000000" w:rsidR="00000000" w:rsidRPr="00000000">
        <w:rPr>
          <w:i w:val="1"/>
          <w:rtl w:val="0"/>
        </w:rPr>
        <w:t xml:space="preserve">Códices. Os antigos livros do Novo Mundo</w:t>
      </w:r>
      <w:r w:rsidDel="00000000" w:rsidR="00000000" w:rsidRPr="00000000">
        <w:rPr>
          <w:rtl w:val="0"/>
        </w:rPr>
        <w:t xml:space="preserve">. Ed. UFSC, 2012. Capítulo 5: Nove Vento, ou Quetzalcoatl, na página 48 do códice mixteco conhecido como </w:t>
      </w:r>
      <w:r w:rsidDel="00000000" w:rsidR="00000000" w:rsidRPr="00000000">
        <w:rPr>
          <w:i w:val="1"/>
          <w:rtl w:val="0"/>
        </w:rPr>
        <w:t xml:space="preserve">Vindobonensis-Mexicanus I</w:t>
      </w:r>
      <w:r w:rsidDel="00000000" w:rsidR="00000000" w:rsidRPr="00000000">
        <w:rPr>
          <w:rtl w:val="0"/>
        </w:rPr>
        <w:t xml:space="preserve">. pp. 244-259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29 de abril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Terceiro encontro: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Personagens: adornos, identificações étnicas, gestos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Leitura do códice Zouche-Nuttall.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Texto </w:t>
      </w:r>
      <w:r w:rsidDel="00000000" w:rsidR="00000000" w:rsidRPr="00000000">
        <w:rPr>
          <w:rtl w:val="0"/>
        </w:rPr>
        <w:t xml:space="preserve">sugerido</w:t>
      </w:r>
      <w:r w:rsidDel="00000000" w:rsidR="00000000" w:rsidRPr="00000000">
        <w:rPr>
          <w:rtl w:val="0"/>
        </w:rPr>
        <w:t xml:space="preserve">: TROIKE, Nancy. The Interpretation of Postures and Gestures in the Mixtec Codices In: BOONE, Elizabeth Hill (ed.) </w:t>
      </w:r>
      <w:r w:rsidDel="00000000" w:rsidR="00000000" w:rsidRPr="00000000">
        <w:rPr>
          <w:i w:val="1"/>
          <w:rtl w:val="0"/>
        </w:rPr>
        <w:t xml:space="preserve">Art and Iconography of Late Post–Classic Central Mexico</w:t>
      </w:r>
      <w:r w:rsidDel="00000000" w:rsidR="00000000" w:rsidRPr="00000000">
        <w:rPr>
          <w:rtl w:val="0"/>
        </w:rPr>
        <w:t xml:space="preserve">. Washington: Dumbarton Oaks, 1982.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 de maio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Quarto encontro: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Elementos naturais: animais e plantas.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Leitura do códice Borbónico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Texto sugerido: a ser definido.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27 de maio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Quinto encontro: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Composição de cenas: paisagens, ações humanas e sequência narrativa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Leitura do códice Bodley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Texto sugerido:JANSEN &amp; PÉREZ JIMENEZ. Lenguaje ceremonial en los códices mixtecos. In: Peperstraete (org.) </w:t>
      </w:r>
      <w:r w:rsidDel="00000000" w:rsidR="00000000" w:rsidRPr="00000000">
        <w:rPr>
          <w:i w:val="1"/>
          <w:rtl w:val="0"/>
        </w:rPr>
        <w:t xml:space="preserve">Image and ritual in the Aztec world,</w:t>
      </w:r>
      <w:r w:rsidDel="00000000" w:rsidR="00000000" w:rsidRPr="00000000">
        <w:rPr>
          <w:rtl w:val="0"/>
        </w:rPr>
        <w:t xml:space="preserve"> 2009.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de junho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Sexto encontro: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- Datas, contagem de tempo e organização narrativa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Leitura do códice Bodley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Texto sugerido: JANSEN, Maarten. Dates, Deities and Dynasties: non-durational time in MIxtec historiography. In: JANSEN et al (eds.): </w:t>
      </w:r>
      <w:r w:rsidDel="00000000" w:rsidR="00000000" w:rsidRPr="00000000">
        <w:rPr>
          <w:i w:val="1"/>
          <w:rtl w:val="0"/>
        </w:rPr>
        <w:t xml:space="preserve">Continuity and Identity in Native America. </w:t>
      </w:r>
      <w:r w:rsidDel="00000000" w:rsidR="00000000" w:rsidRPr="00000000">
        <w:rPr>
          <w:rtl w:val="0"/>
        </w:rPr>
        <w:t xml:space="preserve">Leiden, 1988.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 de junho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Sétimo encontro: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- Continuidade e inovação, produção de códices no período colonial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Leitura do códice Techialoyan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Texto sugerido: a ser definido.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